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24A52" w14:textId="3BC7050A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E56C5C">
        <w:rPr>
          <w:rFonts w:ascii="Verdana" w:hAnsi="Verdana"/>
          <w:b/>
          <w:sz w:val="20"/>
          <w:szCs w:val="20"/>
        </w:rPr>
        <w:t>3</w:t>
      </w:r>
    </w:p>
    <w:p w14:paraId="3919F286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50170C">
        <w:rPr>
          <w:rFonts w:ascii="Verdana" w:hAnsi="Verdana"/>
          <w:b/>
          <w:sz w:val="20"/>
          <w:szCs w:val="20"/>
        </w:rPr>
        <w:t xml:space="preserve"> </w:t>
      </w:r>
    </w:p>
    <w:p w14:paraId="3379C424" w14:textId="77777777" w:rsidR="00016F98" w:rsidRDefault="00016F9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61665B2A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2EC43C0A" w14:textId="77777777" w:rsidR="0053706E" w:rsidRPr="0053706E" w:rsidRDefault="0053706E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</w:t>
      </w:r>
      <w:r w:rsidR="005E0EC4">
        <w:rPr>
          <w:rFonts w:ascii="Verdana" w:hAnsi="Verdana"/>
          <w:sz w:val="20"/>
          <w:szCs w:val="20"/>
        </w:rPr>
        <w:t>cę w oparciu o Formularz cenowy.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5E0EC4">
        <w:rPr>
          <w:rFonts w:ascii="Verdana" w:hAnsi="Verdana"/>
          <w:sz w:val="20"/>
          <w:szCs w:val="20"/>
        </w:rPr>
        <w:t xml:space="preserve">Wykonawca powinien określić ceny jednostkowe netto, wartości netto, wartość podatku VAT, wartość brutto zgodnie ze wskazanym w Formularzu cenowym </w:t>
      </w:r>
      <w:r w:rsidR="00895FB0">
        <w:rPr>
          <w:rFonts w:ascii="Verdana" w:hAnsi="Verdana"/>
          <w:sz w:val="20"/>
          <w:szCs w:val="20"/>
        </w:rPr>
        <w:t>(załącznik nr 2a</w:t>
      </w:r>
      <w:r w:rsidR="003601AE">
        <w:rPr>
          <w:rFonts w:ascii="Verdana" w:hAnsi="Verdana"/>
          <w:sz w:val="20"/>
          <w:szCs w:val="20"/>
        </w:rPr>
        <w:t xml:space="preserve">) </w:t>
      </w:r>
      <w:r w:rsidR="005E0EC4">
        <w:rPr>
          <w:rFonts w:ascii="Verdana" w:hAnsi="Verdana"/>
          <w:sz w:val="20"/>
          <w:szCs w:val="20"/>
        </w:rPr>
        <w:t xml:space="preserve">sposobem obliczenia oferty. </w:t>
      </w:r>
    </w:p>
    <w:p w14:paraId="3940270C" w14:textId="77777777" w:rsidR="005E0EC4" w:rsidRDefault="005E0EC4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Wszystkie skalkulowane koszty Wykonawca zsumuje i przeniesie do Formularza Ofertowego (Załącznik nr 2).</w:t>
      </w:r>
    </w:p>
    <w:p w14:paraId="6D26C1E9" w14:textId="77777777" w:rsidR="0053706E" w:rsidRPr="00B762D7" w:rsidRDefault="0053706E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2E9FD96" w14:textId="77777777" w:rsidR="00EA4FD4" w:rsidRPr="00B762D7" w:rsidRDefault="00EA4FD4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5B2135F" w14:textId="77777777" w:rsidR="00EA4FD4" w:rsidRPr="00B762D7" w:rsidRDefault="00EA4FD4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B9DFFF9" w14:textId="77777777" w:rsidR="00EA4FD4" w:rsidRPr="00B762D7" w:rsidRDefault="00EA4FD4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771E9D7" w14:textId="77777777" w:rsidR="00EA4FD4" w:rsidRDefault="00EA4FD4" w:rsidP="00B64567">
      <w:pPr>
        <w:pStyle w:val="Akapitzlist"/>
        <w:numPr>
          <w:ilvl w:val="0"/>
          <w:numId w:val="6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6824DD02" w14:textId="77777777" w:rsidR="00016F98" w:rsidRDefault="00016F98" w:rsidP="00B64567">
      <w:pPr>
        <w:pStyle w:val="Akapitzlist"/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</w:p>
    <w:p w14:paraId="693F71F6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4203DB36" w14:textId="3CCD80C7" w:rsidR="003B3877" w:rsidRDefault="003B3877" w:rsidP="00B64567">
      <w:pPr>
        <w:pStyle w:val="Akapitzlist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, kierując wniosek na adres: GDDKiA Oddział </w:t>
      </w:r>
      <w:r w:rsidR="00797AED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>w Katowicach, ul. M</w:t>
      </w:r>
      <w:r w:rsidR="00895FB0">
        <w:rPr>
          <w:rFonts w:ascii="Verdana" w:hAnsi="Verdana"/>
          <w:sz w:val="20"/>
          <w:szCs w:val="20"/>
        </w:rPr>
        <w:t>yśliwska 5, 40-</w:t>
      </w:r>
      <w:r w:rsidR="007A6A97">
        <w:rPr>
          <w:rFonts w:ascii="Verdana" w:hAnsi="Verdana"/>
          <w:sz w:val="20"/>
          <w:szCs w:val="20"/>
        </w:rPr>
        <w:t xml:space="preserve">017 Katowice lub </w:t>
      </w:r>
      <w:r w:rsidR="00B64567">
        <w:rPr>
          <w:rFonts w:ascii="Verdana" w:hAnsi="Verdana"/>
          <w:sz w:val="20"/>
          <w:szCs w:val="20"/>
        </w:rPr>
        <w:t xml:space="preserve">e-mail: </w:t>
      </w:r>
      <w:hyperlink r:id="rId5" w:history="1">
        <w:r w:rsidR="00B64567" w:rsidRPr="00474C57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  <w:r w:rsidR="00B64567">
        <w:rPr>
          <w:rFonts w:ascii="Verdana" w:hAnsi="Verdana"/>
          <w:sz w:val="20"/>
          <w:szCs w:val="20"/>
        </w:rPr>
        <w:t xml:space="preserve"> </w:t>
      </w:r>
      <w:r w:rsidR="007A6A97">
        <w:rPr>
          <w:rFonts w:ascii="Verdana" w:hAnsi="Verdana"/>
          <w:sz w:val="20"/>
          <w:szCs w:val="20"/>
        </w:rPr>
        <w:t xml:space="preserve"> </w:t>
      </w:r>
    </w:p>
    <w:p w14:paraId="28FD6F39" w14:textId="3E58D4B6" w:rsidR="00B762D7" w:rsidRDefault="003B3877" w:rsidP="00B64567">
      <w:pPr>
        <w:pStyle w:val="Akapitzlist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</w:t>
      </w:r>
      <w:r w:rsidR="00B64567">
        <w:rPr>
          <w:rFonts w:ascii="Verdana" w:hAnsi="Verdana"/>
          <w:sz w:val="20"/>
          <w:szCs w:val="20"/>
        </w:rPr>
        <w:t xml:space="preserve"> pod warunkiem,  że wniosek o wyjaśnienie treści ogłoszenia wpłynął do Zamawiającego</w:t>
      </w:r>
      <w:r w:rsidRPr="00B762D7">
        <w:rPr>
          <w:rFonts w:ascii="Verdana" w:hAnsi="Verdana"/>
          <w:sz w:val="20"/>
          <w:szCs w:val="20"/>
        </w:rPr>
        <w:t xml:space="preserve"> nie później niż na </w:t>
      </w:r>
      <w:r w:rsidR="00631CDE">
        <w:rPr>
          <w:rFonts w:ascii="Verdana" w:hAnsi="Verdana"/>
          <w:sz w:val="20"/>
          <w:szCs w:val="20"/>
        </w:rPr>
        <w:t>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</w:t>
      </w:r>
      <w:r w:rsidR="00631CDE">
        <w:rPr>
          <w:rFonts w:ascii="Verdana" w:hAnsi="Verdana"/>
          <w:sz w:val="20"/>
          <w:szCs w:val="20"/>
        </w:rPr>
        <w:t>.</w:t>
      </w:r>
      <w:r w:rsidRPr="00B762D7">
        <w:rPr>
          <w:rFonts w:ascii="Verdana" w:hAnsi="Verdana"/>
          <w:sz w:val="20"/>
          <w:szCs w:val="20"/>
        </w:rPr>
        <w:t xml:space="preserve"> </w:t>
      </w:r>
    </w:p>
    <w:p w14:paraId="1DA0B7EC" w14:textId="77777777" w:rsidR="003B3877" w:rsidRDefault="00B762D7" w:rsidP="00B64567">
      <w:pPr>
        <w:pStyle w:val="Akapitzlist"/>
        <w:numPr>
          <w:ilvl w:val="0"/>
          <w:numId w:val="9"/>
        </w:numPr>
        <w:spacing w:after="240" w:line="240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39BCA6E3" w14:textId="77777777" w:rsidR="00797AED" w:rsidRPr="00B762D7" w:rsidRDefault="00797AED" w:rsidP="00797AED">
      <w:pPr>
        <w:pStyle w:val="Akapitzlist"/>
        <w:spacing w:before="120" w:after="0" w:line="360" w:lineRule="auto"/>
        <w:contextualSpacing w:val="0"/>
        <w:jc w:val="both"/>
        <w:rPr>
          <w:rFonts w:ascii="Verdana" w:hAnsi="Verdana"/>
          <w:sz w:val="20"/>
          <w:szCs w:val="20"/>
        </w:rPr>
      </w:pPr>
    </w:p>
    <w:p w14:paraId="155B174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297C259" w14:textId="77777777" w:rsidR="00F75D7F" w:rsidRDefault="00F75D7F" w:rsidP="00B64567">
      <w:pPr>
        <w:pStyle w:val="Akapitzlist"/>
        <w:numPr>
          <w:ilvl w:val="0"/>
          <w:numId w:val="3"/>
        </w:numPr>
        <w:spacing w:before="120"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2B2FD25" w14:textId="77777777" w:rsidR="00A563EA" w:rsidRPr="00A563EA" w:rsidRDefault="00DE00BF" w:rsidP="00B645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240" w:line="240" w:lineRule="auto"/>
        <w:ind w:left="425" w:hanging="425"/>
        <w:contextualSpacing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/>
          <w:sz w:val="20"/>
          <w:szCs w:val="20"/>
        </w:rPr>
        <w:t>Zamawiający odrzuci ofertę Wykonawcy jeżeli:</w:t>
      </w:r>
      <w:r w:rsidR="00A563EA">
        <w:rPr>
          <w:rFonts w:ascii="Verdana" w:hAnsi="Verdana"/>
          <w:sz w:val="20"/>
          <w:szCs w:val="20"/>
        </w:rPr>
        <w:t xml:space="preserve"> </w:t>
      </w:r>
    </w:p>
    <w:p w14:paraId="64BC4021" w14:textId="0FCF7CEF" w:rsidR="0081493A" w:rsidRPr="0081493A" w:rsidRDefault="00A563EA" w:rsidP="00B6456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240" w:line="240" w:lineRule="auto"/>
        <w:ind w:left="1559" w:hanging="567"/>
        <w:contextualSpacing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lastRenderedPageBreak/>
        <w:t>Wykonawca złożył więcej niż jedną ofertę,</w:t>
      </w:r>
    </w:p>
    <w:p w14:paraId="78D55401" w14:textId="25F8874F" w:rsidR="00A563EA" w:rsidRPr="00A563EA" w:rsidRDefault="00A563EA" w:rsidP="00B6456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240" w:line="240" w:lineRule="auto"/>
        <w:ind w:left="1560" w:hanging="567"/>
        <w:contextualSpacing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>Wykonawca nie złożył Formularza ofertowego i/lub Formularza cenowego  i/lub nie uzupełnił dokumentów i/lub nie złożył wyjaśnień,</w:t>
      </w:r>
    </w:p>
    <w:p w14:paraId="2B049151" w14:textId="77777777" w:rsidR="00A563EA" w:rsidRPr="007F32DF" w:rsidRDefault="00A563EA" w:rsidP="00B64567">
      <w:pPr>
        <w:numPr>
          <w:ilvl w:val="1"/>
          <w:numId w:val="3"/>
        </w:numPr>
        <w:autoSpaceDE w:val="0"/>
        <w:autoSpaceDN w:val="0"/>
        <w:adjustRightInd w:val="0"/>
        <w:spacing w:after="240" w:line="24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Oferta została złożona po terminie składania ofert,</w:t>
      </w:r>
    </w:p>
    <w:p w14:paraId="69479A14" w14:textId="77777777" w:rsidR="00A563EA" w:rsidRPr="007F32DF" w:rsidRDefault="00A563EA" w:rsidP="00B64567">
      <w:pPr>
        <w:numPr>
          <w:ilvl w:val="1"/>
          <w:numId w:val="3"/>
        </w:numPr>
        <w:autoSpaceDE w:val="0"/>
        <w:autoSpaceDN w:val="0"/>
        <w:adjustRightInd w:val="0"/>
        <w:spacing w:after="240" w:line="24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Treść oferty jest niezgodna z warunkami zamówienia określonymi w szczególności w ogłoszeniu lub w opisie przedmiotu zamówienia,</w:t>
      </w:r>
    </w:p>
    <w:p w14:paraId="7AEEE04E" w14:textId="77777777" w:rsidR="00A563EA" w:rsidRPr="007F32DF" w:rsidRDefault="00A563EA" w:rsidP="00B64567">
      <w:pPr>
        <w:numPr>
          <w:ilvl w:val="1"/>
          <w:numId w:val="3"/>
        </w:numPr>
        <w:autoSpaceDE w:val="0"/>
        <w:autoSpaceDN w:val="0"/>
        <w:adjustRightInd w:val="0"/>
        <w:spacing w:after="240" w:line="24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zamówienie,</w:t>
      </w:r>
    </w:p>
    <w:p w14:paraId="392017E2" w14:textId="77777777" w:rsidR="00A563EA" w:rsidRPr="007F32DF" w:rsidRDefault="00A563EA" w:rsidP="00B64567">
      <w:pPr>
        <w:numPr>
          <w:ilvl w:val="1"/>
          <w:numId w:val="3"/>
        </w:numPr>
        <w:autoSpaceDE w:val="0"/>
        <w:autoSpaceDN w:val="0"/>
        <w:adjustRightInd w:val="0"/>
        <w:spacing w:after="240" w:line="24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Jeżeli złożone wyjaśnienia nie uzasadniają podanej w ofercie ceny,</w:t>
      </w:r>
    </w:p>
    <w:p w14:paraId="1F410335" w14:textId="77777777" w:rsidR="00A563EA" w:rsidRDefault="00A563EA" w:rsidP="00B64567">
      <w:pPr>
        <w:numPr>
          <w:ilvl w:val="1"/>
          <w:numId w:val="3"/>
        </w:numPr>
        <w:autoSpaceDE w:val="0"/>
        <w:autoSpaceDN w:val="0"/>
        <w:adjustRightInd w:val="0"/>
        <w:spacing w:after="240" w:line="24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C24D462" w14:textId="77777777" w:rsidR="00A563EA" w:rsidRPr="007F32DF" w:rsidRDefault="00A563EA" w:rsidP="00B64567">
      <w:pPr>
        <w:numPr>
          <w:ilvl w:val="1"/>
          <w:numId w:val="3"/>
        </w:numPr>
        <w:autoSpaceDE w:val="0"/>
        <w:autoSpaceDN w:val="0"/>
        <w:adjustRightInd w:val="0"/>
        <w:spacing w:after="240" w:line="240" w:lineRule="auto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Wykonawca złożył niepodpisaną ofertę. </w:t>
      </w:r>
    </w:p>
    <w:p w14:paraId="0134225C" w14:textId="77777777" w:rsidR="00A359D5" w:rsidRDefault="00BA6267" w:rsidP="00B64567">
      <w:pPr>
        <w:pStyle w:val="Akapitzlist"/>
        <w:numPr>
          <w:ilvl w:val="0"/>
          <w:numId w:val="3"/>
        </w:numPr>
        <w:spacing w:before="120"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4816DF70" w14:textId="77777777" w:rsidR="00AF4243" w:rsidRPr="00895FB0" w:rsidRDefault="00A359D5" w:rsidP="00B64567">
      <w:pPr>
        <w:pStyle w:val="Akapitzlist"/>
        <w:numPr>
          <w:ilvl w:val="1"/>
          <w:numId w:val="8"/>
        </w:numPr>
        <w:spacing w:before="120" w:after="240" w:line="24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wezwania do uzupełnienia dokumentów i/lub wy</w:t>
      </w:r>
      <w:r w:rsidR="00016F98">
        <w:rPr>
          <w:rFonts w:ascii="Verdana" w:hAnsi="Verdana"/>
          <w:sz w:val="20"/>
          <w:szCs w:val="20"/>
        </w:rPr>
        <w:t>jaśnień treści złożonej oferty,</w:t>
      </w:r>
    </w:p>
    <w:p w14:paraId="3086B87C" w14:textId="63D49C73" w:rsidR="00AF4243" w:rsidRDefault="00A359D5" w:rsidP="00B64567">
      <w:pPr>
        <w:pStyle w:val="Akapitzlist"/>
        <w:numPr>
          <w:ilvl w:val="1"/>
          <w:numId w:val="8"/>
        </w:numPr>
        <w:spacing w:before="120" w:after="240" w:line="24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</w:t>
      </w:r>
      <w:r w:rsidR="00B828BF">
        <w:rPr>
          <w:rFonts w:ascii="Verdana" w:hAnsi="Verdana"/>
          <w:sz w:val="20"/>
          <w:szCs w:val="20"/>
        </w:rPr>
        <w:t xml:space="preserve"> (i innych kryteriów oceny ofert jeżeli są inne kryteria),</w:t>
      </w:r>
      <w:r w:rsidRPr="00AF4243">
        <w:rPr>
          <w:rFonts w:ascii="Verdana" w:hAnsi="Verdana"/>
          <w:sz w:val="20"/>
          <w:szCs w:val="20"/>
        </w:rPr>
        <w:t xml:space="preserve"> </w:t>
      </w:r>
      <w:r w:rsidR="00283913">
        <w:rPr>
          <w:rFonts w:ascii="Verdana" w:hAnsi="Verdana"/>
          <w:sz w:val="20"/>
          <w:szCs w:val="20"/>
        </w:rPr>
        <w:t>Z</w:t>
      </w:r>
      <w:r w:rsidRPr="00AF4243">
        <w:rPr>
          <w:rFonts w:ascii="Verdana" w:hAnsi="Verdana"/>
          <w:sz w:val="20"/>
          <w:szCs w:val="20"/>
        </w:rPr>
        <w:t>amawiający</w:t>
      </w:r>
      <w:r w:rsidR="00B828BF">
        <w:rPr>
          <w:rFonts w:ascii="Verdana" w:hAnsi="Verdana"/>
          <w:sz w:val="20"/>
          <w:szCs w:val="20"/>
        </w:rPr>
        <w:t xml:space="preserve"> </w:t>
      </w:r>
      <w:r w:rsidRPr="00AF4243">
        <w:rPr>
          <w:rFonts w:ascii="Verdana" w:hAnsi="Verdana"/>
          <w:sz w:val="20"/>
          <w:szCs w:val="20"/>
        </w:rPr>
        <w:t>wzywa wykonawców, którzy złożyli te oferty, do złożenia w terminie określonym przez zamawiającego ofert dodatkowych. Wykonaw</w:t>
      </w:r>
      <w:r w:rsidR="00A87B37">
        <w:rPr>
          <w:rFonts w:ascii="Verdana" w:hAnsi="Verdana"/>
          <w:sz w:val="20"/>
          <w:szCs w:val="20"/>
        </w:rPr>
        <w:t xml:space="preserve">cy, składając oferty dodatkowe, </w:t>
      </w:r>
      <w:r w:rsidRPr="00AF4243">
        <w:rPr>
          <w:rFonts w:ascii="Verdana" w:hAnsi="Verdana"/>
          <w:sz w:val="20"/>
          <w:szCs w:val="20"/>
        </w:rPr>
        <w:t>nie mogą zaoferować cen wyższych niż z</w:t>
      </w:r>
      <w:r w:rsidR="00016F98">
        <w:rPr>
          <w:rFonts w:ascii="Verdana" w:hAnsi="Verdana"/>
          <w:sz w:val="20"/>
          <w:szCs w:val="20"/>
        </w:rPr>
        <w:t>aoferowane w złożonych ofertach,</w:t>
      </w:r>
    </w:p>
    <w:p w14:paraId="7942EE8E" w14:textId="13B5DDE9" w:rsidR="00CA3585" w:rsidRDefault="00CA3585" w:rsidP="00B64567">
      <w:pPr>
        <w:pStyle w:val="Akapitzlist"/>
        <w:numPr>
          <w:ilvl w:val="1"/>
          <w:numId w:val="8"/>
        </w:numPr>
        <w:spacing w:before="120" w:after="240" w:line="24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pisarskich,</w:t>
      </w:r>
    </w:p>
    <w:p w14:paraId="3B604876" w14:textId="58CD6FFA" w:rsidR="00586565" w:rsidRDefault="00586565" w:rsidP="00B64567">
      <w:pPr>
        <w:pStyle w:val="Akapitzlist"/>
        <w:numPr>
          <w:ilvl w:val="1"/>
          <w:numId w:val="8"/>
        </w:numPr>
        <w:spacing w:before="120" w:after="240" w:line="24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rachunkowych</w:t>
      </w:r>
      <w:r w:rsidR="00CA3585">
        <w:rPr>
          <w:rFonts w:ascii="Verdana" w:hAnsi="Verdana"/>
          <w:sz w:val="20"/>
          <w:szCs w:val="20"/>
        </w:rPr>
        <w:t>, z uwzględnieniem konsekwencji rachunkowych dokonanych poprawek</w:t>
      </w:r>
      <w:r w:rsidR="00C37669">
        <w:rPr>
          <w:rFonts w:ascii="Verdana" w:hAnsi="Verdana"/>
          <w:sz w:val="20"/>
          <w:szCs w:val="20"/>
        </w:rPr>
        <w:t>,</w:t>
      </w:r>
    </w:p>
    <w:p w14:paraId="77C8A16B" w14:textId="77777777" w:rsidR="00A359D5" w:rsidRPr="00AF4243" w:rsidRDefault="00A359D5" w:rsidP="00B64567">
      <w:pPr>
        <w:pStyle w:val="Akapitzlist"/>
        <w:numPr>
          <w:ilvl w:val="1"/>
          <w:numId w:val="8"/>
        </w:numPr>
        <w:spacing w:before="120" w:after="240" w:line="240" w:lineRule="auto"/>
        <w:ind w:left="1560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66E57BCE" w14:textId="77777777" w:rsidR="00A359D5" w:rsidRPr="00A359D5" w:rsidRDefault="00A359D5" w:rsidP="00B64567">
      <w:pPr>
        <w:pStyle w:val="Akapitzlist"/>
        <w:numPr>
          <w:ilvl w:val="0"/>
          <w:numId w:val="11"/>
        </w:numPr>
        <w:spacing w:before="120" w:after="240" w:line="24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0CCB8A72" w14:textId="77777777" w:rsidR="00A359D5" w:rsidRPr="00A359D5" w:rsidRDefault="00A359D5" w:rsidP="00B64567">
      <w:pPr>
        <w:pStyle w:val="Akapitzlist"/>
        <w:numPr>
          <w:ilvl w:val="0"/>
          <w:numId w:val="11"/>
        </w:numPr>
        <w:spacing w:before="120" w:after="240" w:line="24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78AED82" w14:textId="77777777" w:rsidR="00A359D5" w:rsidRPr="00A359D5" w:rsidRDefault="00A359D5" w:rsidP="00B64567">
      <w:pPr>
        <w:pStyle w:val="Akapitzlist"/>
        <w:numPr>
          <w:ilvl w:val="0"/>
          <w:numId w:val="11"/>
        </w:numPr>
        <w:spacing w:before="120" w:after="240" w:line="24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586565"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27C699FA" w14:textId="77777777" w:rsidR="00F753DC" w:rsidRDefault="00141D17" w:rsidP="00B64567">
      <w:pPr>
        <w:pStyle w:val="Akapitzlist"/>
        <w:numPr>
          <w:ilvl w:val="0"/>
          <w:numId w:val="11"/>
        </w:numPr>
        <w:spacing w:before="120" w:after="240" w:line="240" w:lineRule="auto"/>
        <w:ind w:left="198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14:paraId="59DF5B09" w14:textId="5F871CB0" w:rsidR="00F105A8" w:rsidRDefault="00F105A8" w:rsidP="00B64567">
      <w:pPr>
        <w:pStyle w:val="Akapitzlist"/>
        <w:numPr>
          <w:ilvl w:val="0"/>
          <w:numId w:val="3"/>
        </w:numPr>
        <w:spacing w:before="120"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105A8">
        <w:rPr>
          <w:rFonts w:ascii="Verdana" w:hAnsi="Verdana"/>
          <w:sz w:val="20"/>
          <w:szCs w:val="20"/>
        </w:rPr>
        <w:t>Z postępowania o udzielenie zamówienia wyklucza się Wykonawcę, w stosunku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 U. z 2</w:t>
      </w:r>
      <w:r w:rsidR="006C254F">
        <w:rPr>
          <w:rFonts w:ascii="Verdana" w:hAnsi="Verdana"/>
          <w:sz w:val="20"/>
          <w:szCs w:val="20"/>
        </w:rPr>
        <w:t>025 r. poz. 514</w:t>
      </w:r>
      <w:r w:rsidR="00E95AA4">
        <w:rPr>
          <w:rFonts w:ascii="Verdana" w:hAnsi="Verdana"/>
          <w:sz w:val="20"/>
          <w:szCs w:val="20"/>
        </w:rPr>
        <w:t>).</w:t>
      </w:r>
    </w:p>
    <w:p w14:paraId="4F3FCAE2" w14:textId="26F1CE72" w:rsidR="00434CF5" w:rsidRDefault="00434CF5" w:rsidP="00B64567">
      <w:pPr>
        <w:pStyle w:val="Akapitzlist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Realizując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obowiązek, o którym mowa w art. 24 ust. 6 ustawy z dnia 14 czerwca 2024 r. o ochronie sygnalistów (Dz. U. 2024 poz. 928), informujemy, że w Generalnej Dyrekcji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sprawę”- procedura zgłoszeń wewnętrznych.</w:t>
      </w:r>
    </w:p>
    <w:p w14:paraId="5FEE2CF6" w14:textId="77777777" w:rsidR="00434CF5" w:rsidRPr="00434CF5" w:rsidRDefault="00434CF5" w:rsidP="00434CF5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5B595321" w14:textId="77777777" w:rsidR="00F105A8" w:rsidRPr="00F105A8" w:rsidRDefault="00F105A8" w:rsidP="00F105A8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F105A8" w:rsidRPr="00F105A8" w:rsidSect="007A6A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21ACE"/>
    <w:multiLevelType w:val="multilevel"/>
    <w:tmpl w:val="1BAC0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E44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E4748"/>
    <w:multiLevelType w:val="multilevel"/>
    <w:tmpl w:val="8D50B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7509926">
    <w:abstractNumId w:val="1"/>
  </w:num>
  <w:num w:numId="2" w16cid:durableId="2069919314">
    <w:abstractNumId w:val="5"/>
  </w:num>
  <w:num w:numId="3" w16cid:durableId="1819033849">
    <w:abstractNumId w:val="10"/>
  </w:num>
  <w:num w:numId="4" w16cid:durableId="1924022853">
    <w:abstractNumId w:val="3"/>
  </w:num>
  <w:num w:numId="5" w16cid:durableId="937177199">
    <w:abstractNumId w:val="15"/>
  </w:num>
  <w:num w:numId="6" w16cid:durableId="1768774132">
    <w:abstractNumId w:val="4"/>
  </w:num>
  <w:num w:numId="7" w16cid:durableId="445126757">
    <w:abstractNumId w:val="6"/>
  </w:num>
  <w:num w:numId="8" w16cid:durableId="1698390849">
    <w:abstractNumId w:val="12"/>
  </w:num>
  <w:num w:numId="9" w16cid:durableId="640618174">
    <w:abstractNumId w:val="13"/>
  </w:num>
  <w:num w:numId="10" w16cid:durableId="789517040">
    <w:abstractNumId w:val="8"/>
  </w:num>
  <w:num w:numId="11" w16cid:durableId="1422410705">
    <w:abstractNumId w:val="2"/>
  </w:num>
  <w:num w:numId="12" w16cid:durableId="442850507">
    <w:abstractNumId w:val="0"/>
  </w:num>
  <w:num w:numId="13" w16cid:durableId="1967613900">
    <w:abstractNumId w:val="11"/>
  </w:num>
  <w:num w:numId="14" w16cid:durableId="2002467012">
    <w:abstractNumId w:val="9"/>
  </w:num>
  <w:num w:numId="15" w16cid:durableId="769470529">
    <w:abstractNumId w:val="7"/>
  </w:num>
  <w:num w:numId="16" w16cid:durableId="10689240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16F98"/>
    <w:rsid w:val="000242E7"/>
    <w:rsid w:val="00040731"/>
    <w:rsid w:val="0006406A"/>
    <w:rsid w:val="000B61B0"/>
    <w:rsid w:val="000E0712"/>
    <w:rsid w:val="00141D17"/>
    <w:rsid w:val="00174D54"/>
    <w:rsid w:val="001D042C"/>
    <w:rsid w:val="001E2466"/>
    <w:rsid w:val="001F3A58"/>
    <w:rsid w:val="00283913"/>
    <w:rsid w:val="00311C29"/>
    <w:rsid w:val="003601AE"/>
    <w:rsid w:val="00392767"/>
    <w:rsid w:val="003B3877"/>
    <w:rsid w:val="00434CF5"/>
    <w:rsid w:val="00463BDB"/>
    <w:rsid w:val="004937B4"/>
    <w:rsid w:val="0050170C"/>
    <w:rsid w:val="0053706E"/>
    <w:rsid w:val="00586565"/>
    <w:rsid w:val="005A4EC4"/>
    <w:rsid w:val="005E0EC4"/>
    <w:rsid w:val="00631CDE"/>
    <w:rsid w:val="00662D74"/>
    <w:rsid w:val="006C254F"/>
    <w:rsid w:val="00797AED"/>
    <w:rsid w:val="007A6A97"/>
    <w:rsid w:val="007D603F"/>
    <w:rsid w:val="007E074C"/>
    <w:rsid w:val="0081493A"/>
    <w:rsid w:val="0085078F"/>
    <w:rsid w:val="00895FB0"/>
    <w:rsid w:val="008C3714"/>
    <w:rsid w:val="00935900"/>
    <w:rsid w:val="00943674"/>
    <w:rsid w:val="0098121C"/>
    <w:rsid w:val="009A100C"/>
    <w:rsid w:val="00A2438D"/>
    <w:rsid w:val="00A24B01"/>
    <w:rsid w:val="00A359D5"/>
    <w:rsid w:val="00A563EA"/>
    <w:rsid w:val="00A87B37"/>
    <w:rsid w:val="00A96C14"/>
    <w:rsid w:val="00AE6A09"/>
    <w:rsid w:val="00AF4243"/>
    <w:rsid w:val="00B64567"/>
    <w:rsid w:val="00B673AD"/>
    <w:rsid w:val="00B762D7"/>
    <w:rsid w:val="00B828BF"/>
    <w:rsid w:val="00BA6267"/>
    <w:rsid w:val="00BC63EC"/>
    <w:rsid w:val="00C2112C"/>
    <w:rsid w:val="00C355F5"/>
    <w:rsid w:val="00C37669"/>
    <w:rsid w:val="00C57BB7"/>
    <w:rsid w:val="00CA3585"/>
    <w:rsid w:val="00D0314A"/>
    <w:rsid w:val="00D43302"/>
    <w:rsid w:val="00D622CC"/>
    <w:rsid w:val="00D83341"/>
    <w:rsid w:val="00DE00BF"/>
    <w:rsid w:val="00E56C5C"/>
    <w:rsid w:val="00E8360C"/>
    <w:rsid w:val="00E95AA4"/>
    <w:rsid w:val="00EA35B0"/>
    <w:rsid w:val="00EA4FD4"/>
    <w:rsid w:val="00EB4CB6"/>
    <w:rsid w:val="00ED7601"/>
    <w:rsid w:val="00F105A8"/>
    <w:rsid w:val="00F11043"/>
    <w:rsid w:val="00F4289B"/>
    <w:rsid w:val="00F753DC"/>
    <w:rsid w:val="00F75D7F"/>
    <w:rsid w:val="00FC6F58"/>
    <w:rsid w:val="00FE59A5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AAA5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4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Koczy Dariusz</cp:lastModifiedBy>
  <cp:revision>28</cp:revision>
  <cp:lastPrinted>2021-07-16T07:18:00Z</cp:lastPrinted>
  <dcterms:created xsi:type="dcterms:W3CDTF">2022-03-14T13:19:00Z</dcterms:created>
  <dcterms:modified xsi:type="dcterms:W3CDTF">2025-11-19T14:12:00Z</dcterms:modified>
</cp:coreProperties>
</file>